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Communication Management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All stakeholders have been identified and consulted for their communication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There is agreement from all stakeholders about the content, frequency and method of communication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 common standard for communication has been defined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time, effort and resources required to carry out the identified communications have been allowed for in Stage Plans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formality and frequency of communication is reasonable for the project’s importance and complexity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For projects that are part of a programme, the lines of communication, and the reporting structure between the project and programme have been defined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This plan employes corporate communications where appropriate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Introduction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[The purpose, objectives, scope and responsibility of the strategy]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Communication Procedure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 description of (or reference to) any communication methods to be used. Any variance from corporate or programme management standards should be highlighted, together with a justification for the variance]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Tools and Techniques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communication tools to be used, and any preference for techniques that may be used, for each step in the communication process]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Records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[What communication records will be required and where they will be stored (for example, logging of external correspondence)]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Reporting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reports on the communication process that are to be produced, their purpose, timing and recipients (for example, performance indicators)]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Time of Communication 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[States when formal communication activities are to be undertaken (for example, at the end of a stage) including performance audits of the communication methods]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Roles and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[Describes who will be responsible for what aspects of the communication process, including any corporate or programme management roles involved with communication]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tl w:val="0"/>
        </w:rPr>
        <w:t xml:space="preserve">Stakeholder Analysis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[Identification of the interested party (who may include accounts staff, user forum, internal audit, corporate or programme quality assurance, competitors etc.)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Current relationship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Desired relationship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Interfaces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Key messages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Information needs for each interested party: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Information required to be provided from the project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Information required to be provided to the project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Information provider and recipient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Frequency of communication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Means of communication 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Format of the communication]</w:t>
      </w:r>
    </w:p>
    <w:p w:rsidR="00000000" w:rsidDel="00000000" w:rsidP="00000000" w:rsidRDefault="00000000" w:rsidRPr="00000000" w14:paraId="00000046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9"/>
      <w:bookmarkEnd w:id="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0"/>
      <w:bookmarkEnd w:id="10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Communication Management Strategy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1"/>
      <w:bookmarkEnd w:id="11"/>
      <w:r w:rsidDel="00000000" w:rsidR="00000000" w:rsidRPr="00000000">
        <w:rPr>
          <w:rtl w:val="0"/>
        </w:rPr>
        <w:t xml:space="preserve">Communication Management Strategy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4F">
      <w:pPr>
        <w:ind w:left="720" w:firstLine="0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2"/>
      <w:bookmarkEnd w:id="12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3"/>
      <w:bookmarkEnd w:id="13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pStyle w:val="Heading2"/>
        <w:ind w:left="0" w:firstLine="0"/>
        <w:rPr/>
      </w:pPr>
      <w:bookmarkStart w:colFirst="0" w:colLast="0" w:name="_t3t8s0u1bazn" w:id="14"/>
      <w:bookmarkEnd w:id="14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GLP014-CommunicationManagementStrategy-V1.0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